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Vocabulario: Parques, Playas y Campamentos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Playa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tomar el sol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ponerse crema protectora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pasear por la playa (la orilla)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construir un castillo de arena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sombrilla (parasol)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u w:val="single"/>
          <w:rtl w:val="0"/>
        </w:rPr>
        <w:t xml:space="preserve">Campamento: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 de camping / acampar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tienda de camping (tent)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barbacoa (BBQ)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comer al aire libre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Campo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campo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montañas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pueblo (town)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cáscada (waterfall)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pescar (related: pez – alive pet; pescado- dead, eaten for dinner)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río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lago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picnic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Parques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parque en la ciudad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ciudad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 de comer a los pájaros (al perro)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pasear al perro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caminar con su bebé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helado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payaso (clown)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remar un bote en el lago (row a boat, careful not to say “boot”)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columpiarse (swing)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saltar a la cuerda (jump rope)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cometa (kite)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globo (balloon)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patinar (en ruedas) (sobre hielo)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patinar en monopatín (skateboard)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 parque de atracciones (parque temático)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 parque zoológico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animales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pájaros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